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87BD" w14:textId="4BB9562B" w:rsidR="00EF40FA" w:rsidRDefault="00684589" w:rsidP="00BC3EDB">
      <w:pPr>
        <w:jc w:val="center"/>
        <w:rPr>
          <w:b/>
          <w:sz w:val="28"/>
          <w:szCs w:val="28"/>
        </w:rPr>
      </w:pPr>
      <w:r>
        <w:rPr>
          <w:b/>
          <w:sz w:val="28"/>
          <w:szCs w:val="28"/>
        </w:rPr>
        <w:t>Alaska Department of Natural Resources Division of Mining, Land, and Water</w:t>
      </w:r>
      <w:r w:rsidR="00FC4023">
        <w:rPr>
          <w:b/>
          <w:sz w:val="28"/>
          <w:szCs w:val="28"/>
        </w:rPr>
        <w:t xml:space="preserve"> </w:t>
      </w:r>
    </w:p>
    <w:p w14:paraId="59D73B2B" w14:textId="2F196451" w:rsidR="009A5555" w:rsidRDefault="00852BB8" w:rsidP="00BC3EDB">
      <w:pPr>
        <w:jc w:val="center"/>
        <w:rPr>
          <w:b/>
          <w:sz w:val="28"/>
          <w:szCs w:val="28"/>
        </w:rPr>
      </w:pPr>
      <w:r>
        <w:rPr>
          <w:b/>
          <w:sz w:val="28"/>
          <w:szCs w:val="28"/>
        </w:rPr>
        <w:t>Croix Fylpaa</w:t>
      </w:r>
    </w:p>
    <w:p w14:paraId="3105D4D6" w14:textId="2581CA9A" w:rsidR="00076A3C" w:rsidRDefault="00852BB8" w:rsidP="00BC3EDB">
      <w:pPr>
        <w:jc w:val="center"/>
        <w:rPr>
          <w:b/>
          <w:sz w:val="28"/>
          <w:szCs w:val="28"/>
        </w:rPr>
      </w:pPr>
      <w:r>
        <w:rPr>
          <w:b/>
          <w:sz w:val="28"/>
          <w:szCs w:val="28"/>
        </w:rPr>
        <w:t>Tideland Lease or Permits</w:t>
      </w:r>
    </w:p>
    <w:p w14:paraId="47C2E504" w14:textId="77777777" w:rsidR="00076A3C" w:rsidRDefault="00076A3C" w:rsidP="00BC3EDB">
      <w:pPr>
        <w:jc w:val="center"/>
        <w:rPr>
          <w:rFonts w:ascii="Segoe UI" w:hAnsi="Segoe UI" w:cs="Segoe UI"/>
          <w:color w:val="000000"/>
          <w:sz w:val="20"/>
          <w:szCs w:val="20"/>
        </w:rPr>
      </w:pPr>
    </w:p>
    <w:p w14:paraId="1AD8AB0A" w14:textId="77777777" w:rsidR="00BC3EDB" w:rsidRPr="00A63516" w:rsidRDefault="00B51DAF" w:rsidP="009A5555">
      <w:pPr>
        <w:spacing w:after="0"/>
        <w:contextualSpacing/>
        <w:rPr>
          <w:b/>
          <w:sz w:val="24"/>
          <w:szCs w:val="24"/>
          <w:u w:val="single"/>
        </w:rPr>
      </w:pPr>
      <w:r w:rsidRPr="00EF40FA">
        <w:rPr>
          <w:b/>
          <w:sz w:val="24"/>
          <w:szCs w:val="24"/>
          <w:u w:val="single"/>
        </w:rPr>
        <w:t>Summary:</w:t>
      </w:r>
      <w:r>
        <w:rPr>
          <w:sz w:val="24"/>
          <w:szCs w:val="24"/>
        </w:rPr>
        <w:t xml:space="preserve">  </w:t>
      </w:r>
      <w:r w:rsidR="00C21E4A" w:rsidRPr="00A63516">
        <w:rPr>
          <w:b/>
          <w:sz w:val="24"/>
          <w:szCs w:val="24"/>
          <w:u w:val="single"/>
        </w:rPr>
        <w:t>Applicability:</w:t>
      </w:r>
    </w:p>
    <w:p w14:paraId="05265748" w14:textId="201DFA94" w:rsidR="00076A3C" w:rsidRDefault="00852BB8" w:rsidP="009A5555">
      <w:pPr>
        <w:spacing w:after="0"/>
        <w:ind w:firstLine="720"/>
        <w:contextualSpacing/>
        <w:rPr>
          <w:sz w:val="24"/>
          <w:szCs w:val="24"/>
        </w:rPr>
      </w:pPr>
      <w:r>
        <w:rPr>
          <w:sz w:val="24"/>
          <w:szCs w:val="24"/>
        </w:rPr>
        <w:t xml:space="preserve">Alaska’s Coastal region tidelands are the interface between Private or public ownership, and the state of Alaska ownership. Tidal zone coverage changes throughout the day with incoming and outgoing tides.  Alaska Department of Natural Resources Mining, Lands, and Water Division deals with tideland permits and leasing. </w:t>
      </w:r>
    </w:p>
    <w:p w14:paraId="1220856E" w14:textId="77777777" w:rsidR="00684589" w:rsidRDefault="00684589" w:rsidP="009A5555">
      <w:pPr>
        <w:spacing w:after="0"/>
        <w:ind w:firstLine="720"/>
        <w:contextualSpacing/>
      </w:pPr>
      <w:r>
        <w:t xml:space="preserve">Negotiated leases may also be requested by: </w:t>
      </w:r>
    </w:p>
    <w:p w14:paraId="0683ED48" w14:textId="77777777" w:rsidR="00684589" w:rsidRDefault="00684589" w:rsidP="009A5555">
      <w:pPr>
        <w:spacing w:after="0"/>
        <w:ind w:firstLine="720"/>
        <w:contextualSpacing/>
      </w:pPr>
      <w:r>
        <w:t>1) commercial operators of fishing or hunting camps within an exclusive or joint use guiding area</w:t>
      </w:r>
    </w:p>
    <w:p w14:paraId="210A515C" w14:textId="77777777" w:rsidR="00684589" w:rsidRDefault="00684589" w:rsidP="00684589">
      <w:pPr>
        <w:spacing w:after="0"/>
        <w:ind w:firstLine="720"/>
        <w:contextualSpacing/>
      </w:pPr>
      <w:r>
        <w:t>2) commercial operators of duck shacks, and</w:t>
      </w:r>
    </w:p>
    <w:p w14:paraId="3922D350" w14:textId="23E00194" w:rsidR="00684589" w:rsidRDefault="00684589" w:rsidP="00684589">
      <w:pPr>
        <w:spacing w:after="0"/>
        <w:ind w:firstLine="720"/>
        <w:contextualSpacing/>
        <w:rPr>
          <w:sz w:val="24"/>
          <w:szCs w:val="24"/>
        </w:rPr>
      </w:pPr>
      <w:r>
        <w:t xml:space="preserve">3) shore fishery </w:t>
      </w:r>
      <w:proofErr w:type="spellStart"/>
      <w:r>
        <w:t>setnetters</w:t>
      </w:r>
      <w:proofErr w:type="spellEnd"/>
      <w:r>
        <w:t xml:space="preserve"> seeking an upland lease for use in conjunction with their fishing sites.</w:t>
      </w:r>
    </w:p>
    <w:p w14:paraId="26C68474" w14:textId="77777777" w:rsidR="00BC76DA" w:rsidRPr="00FC4023" w:rsidRDefault="00BC76DA" w:rsidP="009A5555">
      <w:pPr>
        <w:spacing w:after="0"/>
        <w:ind w:firstLine="720"/>
        <w:contextualSpacing/>
        <w:rPr>
          <w:sz w:val="24"/>
          <w:szCs w:val="24"/>
        </w:rPr>
      </w:pPr>
    </w:p>
    <w:p w14:paraId="2AEF24EC" w14:textId="77777777" w:rsidR="00076A3C" w:rsidRDefault="00076A3C" w:rsidP="009A5555">
      <w:pPr>
        <w:spacing w:after="0"/>
        <w:contextualSpacing/>
        <w:rPr>
          <w:b/>
          <w:sz w:val="24"/>
          <w:szCs w:val="24"/>
          <w:u w:val="single"/>
        </w:rPr>
      </w:pPr>
      <w:r>
        <w:rPr>
          <w:b/>
          <w:sz w:val="24"/>
          <w:szCs w:val="24"/>
          <w:u w:val="single"/>
        </w:rPr>
        <w:t>Permit Name</w:t>
      </w:r>
    </w:p>
    <w:p w14:paraId="33683B51" w14:textId="600F7FDB" w:rsidR="00076A3C" w:rsidRPr="00FC4023" w:rsidRDefault="0022446A" w:rsidP="009A5555">
      <w:pPr>
        <w:spacing w:after="0"/>
        <w:ind w:firstLine="720"/>
        <w:contextualSpacing/>
        <w:rPr>
          <w:sz w:val="24"/>
          <w:szCs w:val="24"/>
        </w:rPr>
      </w:pPr>
      <w:r>
        <w:rPr>
          <w:sz w:val="24"/>
          <w:szCs w:val="24"/>
        </w:rPr>
        <w:t>Tideland Leases or Permits</w:t>
      </w:r>
    </w:p>
    <w:p w14:paraId="40B85423" w14:textId="77777777" w:rsidR="00076A3C" w:rsidRPr="00FC4023" w:rsidRDefault="00076A3C" w:rsidP="009A5555">
      <w:pPr>
        <w:spacing w:after="0" w:line="240" w:lineRule="auto"/>
        <w:contextualSpacing/>
        <w:jc w:val="both"/>
        <w:rPr>
          <w:u w:val="single"/>
        </w:rPr>
      </w:pPr>
      <w:bookmarkStart w:id="0" w:name="h.4d2re5q2wdoj" w:colFirst="0" w:colLast="0"/>
      <w:bookmarkEnd w:id="0"/>
      <w:r w:rsidRPr="00FC4023">
        <w:rPr>
          <w:b/>
          <w:u w:val="single"/>
        </w:rPr>
        <w:t>APPLICABILITY</w:t>
      </w:r>
    </w:p>
    <w:p w14:paraId="7A80A804" w14:textId="4B341FFB" w:rsidR="00076A3C" w:rsidRPr="00FC4023" w:rsidRDefault="00FC4023" w:rsidP="009A5555">
      <w:pPr>
        <w:spacing w:after="0"/>
        <w:contextualSpacing/>
        <w:rPr>
          <w:sz w:val="24"/>
          <w:szCs w:val="24"/>
        </w:rPr>
      </w:pPr>
      <w:r w:rsidRPr="00FC4023">
        <w:rPr>
          <w:sz w:val="24"/>
          <w:szCs w:val="24"/>
        </w:rPr>
        <w:tab/>
      </w:r>
      <w:r w:rsidR="0022446A">
        <w:rPr>
          <w:sz w:val="24"/>
          <w:szCs w:val="24"/>
        </w:rPr>
        <w:t xml:space="preserve">Mining, Temporary Water Removal, </w:t>
      </w:r>
      <w:r w:rsidR="00684589">
        <w:rPr>
          <w:sz w:val="24"/>
          <w:szCs w:val="24"/>
        </w:rPr>
        <w:t xml:space="preserve">Tideland Farming, </w:t>
      </w:r>
      <w:proofErr w:type="spellStart"/>
      <w:r w:rsidR="00684589">
        <w:rPr>
          <w:sz w:val="24"/>
          <w:szCs w:val="24"/>
        </w:rPr>
        <w:t>Shorefishery</w:t>
      </w:r>
      <w:proofErr w:type="spellEnd"/>
      <w:r w:rsidR="00684589">
        <w:rPr>
          <w:sz w:val="24"/>
          <w:szCs w:val="24"/>
        </w:rPr>
        <w:t xml:space="preserve"> Leases, Tidal mooring/Dock Construction, Log Transfer Facilities, Dredging, filling, or altering beaches</w:t>
      </w:r>
    </w:p>
    <w:p w14:paraId="34BA9179" w14:textId="6FFCC926" w:rsidR="00076A3C" w:rsidRDefault="00076A3C" w:rsidP="009A5555">
      <w:pPr>
        <w:spacing w:after="0"/>
        <w:contextualSpacing/>
        <w:rPr>
          <w:b/>
          <w:sz w:val="24"/>
          <w:szCs w:val="24"/>
          <w:u w:val="single"/>
        </w:rPr>
      </w:pPr>
      <w:r w:rsidRPr="00076A3C">
        <w:rPr>
          <w:b/>
          <w:sz w:val="24"/>
          <w:szCs w:val="24"/>
          <w:u w:val="single"/>
        </w:rPr>
        <w:t>PROCESSING TIMES</w:t>
      </w:r>
    </w:p>
    <w:p w14:paraId="26EA8F28" w14:textId="77777777" w:rsidR="00684589" w:rsidRDefault="00684589" w:rsidP="00684589">
      <w:pPr>
        <w:spacing w:after="0"/>
        <w:contextualSpacing/>
      </w:pPr>
      <w:r>
        <w:t xml:space="preserve">The following is a general </w:t>
      </w:r>
      <w:proofErr w:type="gramStart"/>
      <w:r>
        <w:t>time table</w:t>
      </w:r>
      <w:proofErr w:type="gramEnd"/>
      <w:r>
        <w:t xml:space="preserve"> for processing a lease:</w:t>
      </w:r>
    </w:p>
    <w:p w14:paraId="0F82AFBA" w14:textId="77777777" w:rsidR="00684589" w:rsidRDefault="00684589" w:rsidP="00684589">
      <w:pPr>
        <w:spacing w:after="0"/>
        <w:contextualSpacing/>
      </w:pPr>
      <w:r>
        <w:t xml:space="preserve">1. Application received, serialized and </w:t>
      </w:r>
      <w:proofErr w:type="gramStart"/>
      <w:r>
        <w:t>photo copied</w:t>
      </w:r>
      <w:proofErr w:type="gramEnd"/>
      <w:r>
        <w:t>.</w:t>
      </w:r>
    </w:p>
    <w:p w14:paraId="239C1CE8" w14:textId="77777777" w:rsidR="00684589" w:rsidRDefault="00684589" w:rsidP="00684589">
      <w:pPr>
        <w:spacing w:after="0"/>
        <w:contextualSpacing/>
      </w:pPr>
      <w:r>
        <w:t>2. In-house and agency review ................................................ *30 days</w:t>
      </w:r>
    </w:p>
    <w:p w14:paraId="370DBBCF" w14:textId="77777777" w:rsidR="00684589" w:rsidRDefault="00684589" w:rsidP="00684589">
      <w:pPr>
        <w:spacing w:after="0"/>
        <w:contextualSpacing/>
      </w:pPr>
      <w:r>
        <w:t>3. Preliminary decision................................................................30 days</w:t>
      </w:r>
    </w:p>
    <w:p w14:paraId="24EAD1A3" w14:textId="77777777" w:rsidR="00684589" w:rsidRDefault="00684589" w:rsidP="00684589">
      <w:pPr>
        <w:spacing w:after="0"/>
        <w:contextualSpacing/>
      </w:pPr>
      <w:r>
        <w:t>4. .945 notice letters (A.S. 38.05.945(c) ...................................30 days</w:t>
      </w:r>
    </w:p>
    <w:p w14:paraId="5F792118" w14:textId="77777777" w:rsidR="00684589" w:rsidRDefault="00684589" w:rsidP="00684589">
      <w:pPr>
        <w:spacing w:after="0"/>
        <w:contextualSpacing/>
      </w:pPr>
      <w:r>
        <w:t xml:space="preserve">5. .945 public notice (newspaper </w:t>
      </w:r>
      <w:proofErr w:type="gramStart"/>
      <w:r>
        <w:t>ad)(</w:t>
      </w:r>
      <w:proofErr w:type="gramEnd"/>
      <w:r>
        <w:t>AS 38.05.945(b))........ 30 days</w:t>
      </w:r>
    </w:p>
    <w:p w14:paraId="44F78F7A" w14:textId="77777777" w:rsidR="00684589" w:rsidRDefault="00684589" w:rsidP="00684589">
      <w:pPr>
        <w:spacing w:after="0"/>
        <w:contextualSpacing/>
      </w:pPr>
      <w:r>
        <w:t>6. Survey and appraisal (11AAC 58.400 - .</w:t>
      </w:r>
      <w:proofErr w:type="gramStart"/>
      <w:r>
        <w:t>410).....................</w:t>
      </w:r>
      <w:proofErr w:type="gramEnd"/>
      <w:r>
        <w:t xml:space="preserve"> 60 days</w:t>
      </w:r>
    </w:p>
    <w:p w14:paraId="68481B87" w14:textId="77777777" w:rsidR="00684589" w:rsidRDefault="00684589" w:rsidP="00684589">
      <w:pPr>
        <w:spacing w:after="0"/>
        <w:contextualSpacing/>
      </w:pPr>
      <w:r>
        <w:t>7. Final decision............................................................................ 10 days</w:t>
      </w:r>
    </w:p>
    <w:p w14:paraId="3154EC93" w14:textId="77777777" w:rsidR="00684589" w:rsidRDefault="00684589" w:rsidP="00684589">
      <w:pPr>
        <w:spacing w:after="0"/>
        <w:contextualSpacing/>
      </w:pPr>
      <w:r>
        <w:t xml:space="preserve">8. .945 notice letters (if competitive </w:t>
      </w:r>
      <w:proofErr w:type="gramStart"/>
      <w:r>
        <w:t>offerings).......................</w:t>
      </w:r>
      <w:proofErr w:type="gramEnd"/>
      <w:r>
        <w:t>30 days</w:t>
      </w:r>
    </w:p>
    <w:p w14:paraId="220497C6" w14:textId="77777777" w:rsidR="00684589" w:rsidRDefault="00684589" w:rsidP="00684589">
      <w:pPr>
        <w:spacing w:after="0"/>
        <w:contextualSpacing/>
      </w:pPr>
      <w:r>
        <w:t xml:space="preserve">9. .945 public notice (if </w:t>
      </w:r>
      <w:proofErr w:type="gramStart"/>
      <w:r>
        <w:t>competitive)........................................</w:t>
      </w:r>
      <w:proofErr w:type="gramEnd"/>
      <w:r>
        <w:t xml:space="preserve"> 30 days</w:t>
      </w:r>
    </w:p>
    <w:p w14:paraId="253F4EA3" w14:textId="77777777" w:rsidR="00684589" w:rsidRDefault="00684589" w:rsidP="00684589">
      <w:pPr>
        <w:spacing w:after="0"/>
        <w:contextualSpacing/>
      </w:pPr>
      <w:r>
        <w:t>10. Lease offering........................................................................... 10 days</w:t>
      </w:r>
    </w:p>
    <w:p w14:paraId="08B8968A" w14:textId="77777777" w:rsidR="00684589" w:rsidRDefault="00684589" w:rsidP="00684589">
      <w:pPr>
        <w:spacing w:after="0"/>
        <w:contextualSpacing/>
      </w:pPr>
      <w:r>
        <w:t>* Some upland leases and all tideland leases are within the "coastal zone" and other</w:t>
      </w:r>
    </w:p>
    <w:p w14:paraId="2C73DF03" w14:textId="77777777" w:rsidR="00684589" w:rsidRDefault="00684589" w:rsidP="00684589">
      <w:pPr>
        <w:spacing w:after="0"/>
        <w:contextualSpacing/>
      </w:pPr>
      <w:r>
        <w:t>permits may be required from other agencies. These go through another review for</w:t>
      </w:r>
    </w:p>
    <w:p w14:paraId="4FBDA2C7" w14:textId="14802F19" w:rsidR="00684589" w:rsidRDefault="00684589" w:rsidP="00684589">
      <w:pPr>
        <w:spacing w:after="0"/>
        <w:contextualSpacing/>
        <w:rPr>
          <w:b/>
          <w:sz w:val="24"/>
          <w:szCs w:val="24"/>
          <w:u w:val="single"/>
        </w:rPr>
      </w:pPr>
      <w:r>
        <w:t>consistency with the Alaska Coastal Management Program or approved local coastal plans. Normal review period is 50 days.</w:t>
      </w:r>
    </w:p>
    <w:p w14:paraId="6FD6B5E8" w14:textId="77777777" w:rsidR="00684589" w:rsidRDefault="00684589" w:rsidP="009A5555">
      <w:pPr>
        <w:spacing w:after="0"/>
        <w:contextualSpacing/>
        <w:rPr>
          <w:b/>
          <w:sz w:val="24"/>
          <w:szCs w:val="24"/>
          <w:u w:val="single"/>
        </w:rPr>
      </w:pPr>
    </w:p>
    <w:p w14:paraId="746B97B6" w14:textId="63A9455C" w:rsidR="00BC3EDB" w:rsidRPr="00A63516" w:rsidRDefault="00BC3EDB" w:rsidP="009A5555">
      <w:pPr>
        <w:spacing w:after="0"/>
        <w:contextualSpacing/>
        <w:rPr>
          <w:b/>
          <w:sz w:val="24"/>
          <w:szCs w:val="24"/>
          <w:u w:val="single"/>
        </w:rPr>
      </w:pPr>
      <w:r w:rsidRPr="00A63516">
        <w:rPr>
          <w:b/>
          <w:sz w:val="24"/>
          <w:szCs w:val="24"/>
          <w:u w:val="single"/>
        </w:rPr>
        <w:t>Agency Coordination:</w:t>
      </w:r>
    </w:p>
    <w:p w14:paraId="5EA80944" w14:textId="4D526A91" w:rsidR="00BC3EDB" w:rsidRPr="00FC4023" w:rsidRDefault="00684589" w:rsidP="00684589">
      <w:pPr>
        <w:spacing w:after="0"/>
        <w:contextualSpacing/>
        <w:rPr>
          <w:bCs/>
        </w:rPr>
      </w:pPr>
      <w:r>
        <w:rPr>
          <w:bCs/>
        </w:rPr>
        <w:t>Alaska Department of Natural Resources Division of Mining, Lands, and Waters</w:t>
      </w:r>
    </w:p>
    <w:p w14:paraId="70EE6D77" w14:textId="77777777" w:rsidR="00684589" w:rsidRDefault="00684589" w:rsidP="00684589">
      <w:pPr>
        <w:spacing w:after="0"/>
        <w:contextualSpacing/>
      </w:pPr>
      <w:r>
        <w:rPr>
          <w:bCs/>
        </w:rPr>
        <w:t>S</w:t>
      </w:r>
      <w:r>
        <w:t xml:space="preserve">outhcentral Regional Office </w:t>
      </w:r>
    </w:p>
    <w:p w14:paraId="0C1D1B5A" w14:textId="77777777" w:rsidR="00684589" w:rsidRDefault="00684589" w:rsidP="00684589">
      <w:pPr>
        <w:spacing w:after="0"/>
        <w:contextualSpacing/>
      </w:pPr>
      <w:r>
        <w:t>OFFICE LOCATION:</w:t>
      </w:r>
    </w:p>
    <w:p w14:paraId="796C4494" w14:textId="77777777" w:rsidR="00684589" w:rsidRDefault="00684589" w:rsidP="00684589">
      <w:pPr>
        <w:spacing w:after="0"/>
        <w:contextualSpacing/>
      </w:pPr>
      <w:r>
        <w:lastRenderedPageBreak/>
        <w:t xml:space="preserve"> 3601 "C" Street, Tenth Floor Anchorage, Alaska Phone: (907)762-2253 </w:t>
      </w:r>
    </w:p>
    <w:p w14:paraId="2F10A1F3" w14:textId="77777777" w:rsidR="00684589" w:rsidRDefault="00684589" w:rsidP="00684589">
      <w:pPr>
        <w:spacing w:after="0"/>
        <w:contextualSpacing/>
      </w:pPr>
      <w:r>
        <w:t>MAILING ADDRESS: P.O. Box 107005 Anchorage, Alaska 99510-7005</w:t>
      </w:r>
    </w:p>
    <w:p w14:paraId="23C4270D" w14:textId="77777777" w:rsidR="00684589" w:rsidRDefault="00684589" w:rsidP="00684589">
      <w:pPr>
        <w:spacing w:after="0"/>
        <w:contextualSpacing/>
      </w:pPr>
    </w:p>
    <w:p w14:paraId="472FD36B" w14:textId="2C21B25B" w:rsidR="005C3146" w:rsidRDefault="00B51DAF" w:rsidP="00684589">
      <w:pPr>
        <w:spacing w:after="0"/>
        <w:contextualSpacing/>
        <w:rPr>
          <w:rFonts w:cs="Segoe UI"/>
          <w:b/>
          <w:color w:val="000000"/>
          <w:sz w:val="24"/>
          <w:szCs w:val="24"/>
          <w:u w:val="single"/>
        </w:rPr>
      </w:pPr>
      <w:r w:rsidRPr="0073445B">
        <w:rPr>
          <w:rFonts w:cs="Segoe UI"/>
          <w:b/>
          <w:color w:val="000000"/>
          <w:sz w:val="24"/>
          <w:szCs w:val="24"/>
          <w:u w:val="single"/>
        </w:rPr>
        <w:t>Information Necessary:</w:t>
      </w:r>
    </w:p>
    <w:p w14:paraId="1AB30793" w14:textId="77777777" w:rsidR="00684589" w:rsidRDefault="00684589" w:rsidP="009A5555">
      <w:pPr>
        <w:spacing w:after="0"/>
        <w:contextualSpacing/>
      </w:pPr>
      <w:r>
        <w:t xml:space="preserve">Applicants should include the following information with their completed application form: </w:t>
      </w:r>
    </w:p>
    <w:p w14:paraId="7C290321" w14:textId="77777777" w:rsidR="00684589" w:rsidRDefault="00684589" w:rsidP="009A5555">
      <w:pPr>
        <w:spacing w:after="0"/>
        <w:contextualSpacing/>
      </w:pPr>
      <w:r>
        <w:t xml:space="preserve">- Filing fee. </w:t>
      </w:r>
    </w:p>
    <w:p w14:paraId="18EFC592" w14:textId="77777777" w:rsidR="00684589" w:rsidRDefault="00684589" w:rsidP="009A5555">
      <w:pPr>
        <w:spacing w:after="0"/>
        <w:contextualSpacing/>
      </w:pPr>
      <w:r>
        <w:t>- USGS map 1:63,360 scale with the location marked.</w:t>
      </w:r>
    </w:p>
    <w:p w14:paraId="2E07575B" w14:textId="77777777" w:rsidR="00684589" w:rsidRDefault="00684589" w:rsidP="009A5555">
      <w:pPr>
        <w:spacing w:after="0"/>
        <w:contextualSpacing/>
      </w:pPr>
      <w:r>
        <w:t xml:space="preserve"> - Development plan and time schedule.</w:t>
      </w:r>
    </w:p>
    <w:p w14:paraId="5A1AC564" w14:textId="77777777" w:rsidR="00684589" w:rsidRDefault="00684589" w:rsidP="009A5555">
      <w:pPr>
        <w:spacing w:after="0"/>
        <w:contextualSpacing/>
      </w:pPr>
      <w:r>
        <w:t xml:space="preserve"> - A clear statement of the intended use of the property.</w:t>
      </w:r>
    </w:p>
    <w:p w14:paraId="534350FA" w14:textId="50136571" w:rsidR="00684589" w:rsidRDefault="00684589" w:rsidP="009A5555">
      <w:pPr>
        <w:spacing w:after="0"/>
        <w:contextualSpacing/>
      </w:pPr>
      <w:r>
        <w:t xml:space="preserve"> - Any applicable licenses.</w:t>
      </w:r>
    </w:p>
    <w:p w14:paraId="7E6235ED" w14:textId="77777777" w:rsidR="00684589" w:rsidRDefault="00684589" w:rsidP="009A5555">
      <w:pPr>
        <w:spacing w:after="0"/>
        <w:contextualSpacing/>
      </w:pPr>
      <w:r>
        <w:t>The development plan should contain the following information:</w:t>
      </w:r>
    </w:p>
    <w:p w14:paraId="76AC8B5E" w14:textId="77777777" w:rsidR="00684589" w:rsidRDefault="00684589" w:rsidP="009A5555">
      <w:pPr>
        <w:spacing w:after="0"/>
        <w:contextualSpacing/>
      </w:pPr>
      <w:r>
        <w:t xml:space="preserve"> - A description of the type and location of the temporary and/or permanent structures and a scale drawing depicting all proposed structures.</w:t>
      </w:r>
    </w:p>
    <w:p w14:paraId="3F478444" w14:textId="77777777" w:rsidR="00684589" w:rsidRDefault="00684589" w:rsidP="009A5555">
      <w:pPr>
        <w:spacing w:after="0"/>
        <w:contextualSpacing/>
      </w:pPr>
      <w:r>
        <w:t xml:space="preserve"> - The intended access to the site.</w:t>
      </w:r>
    </w:p>
    <w:p w14:paraId="559F8BC7" w14:textId="77777777" w:rsidR="00684589" w:rsidRDefault="00684589" w:rsidP="009A5555">
      <w:pPr>
        <w:spacing w:after="0"/>
        <w:contextualSpacing/>
      </w:pPr>
      <w:r>
        <w:t xml:space="preserve"> - An explanation of any clearing or cutting of trees</w:t>
      </w:r>
    </w:p>
    <w:p w14:paraId="0849914A" w14:textId="77777777" w:rsidR="00684589" w:rsidRDefault="00684589" w:rsidP="009A5555">
      <w:pPr>
        <w:spacing w:after="0"/>
        <w:contextualSpacing/>
      </w:pPr>
      <w:r>
        <w:t xml:space="preserve"> - A description of the intended power source and fuel storage area.</w:t>
      </w:r>
    </w:p>
    <w:p w14:paraId="7BB31448" w14:textId="77777777" w:rsidR="00684589" w:rsidRDefault="00684589" w:rsidP="009A5555">
      <w:pPr>
        <w:spacing w:after="0"/>
        <w:contextualSpacing/>
      </w:pPr>
      <w:r>
        <w:t xml:space="preserve"> - An explanation of the intended solid waste and </w:t>
      </w:r>
      <w:proofErr w:type="gramStart"/>
      <w:r>
        <w:t>waste water</w:t>
      </w:r>
      <w:proofErr w:type="gramEnd"/>
      <w:r>
        <w:t xml:space="preserve"> disposal method.</w:t>
      </w:r>
    </w:p>
    <w:p w14:paraId="13279145" w14:textId="25CE785A" w:rsidR="00684589" w:rsidRDefault="00684589" w:rsidP="009A5555">
      <w:pPr>
        <w:spacing w:after="0"/>
        <w:contextualSpacing/>
      </w:pPr>
      <w:r>
        <w:t xml:space="preserve"> - The water </w:t>
      </w:r>
      <w:proofErr w:type="gramStart"/>
      <w:r>
        <w:t>source</w:t>
      </w:r>
      <w:proofErr w:type="gramEnd"/>
      <w:r>
        <w:t>.</w:t>
      </w:r>
    </w:p>
    <w:p w14:paraId="7CEBD02F" w14:textId="7D9EA3D1" w:rsidR="00684589" w:rsidRDefault="00684589" w:rsidP="009A5555">
      <w:pPr>
        <w:spacing w:after="0"/>
        <w:contextualSpacing/>
      </w:pPr>
    </w:p>
    <w:p w14:paraId="49FF75CC" w14:textId="681C8123" w:rsidR="00684589" w:rsidRPr="00684589" w:rsidRDefault="00684589" w:rsidP="009A5555">
      <w:pPr>
        <w:spacing w:after="0"/>
        <w:contextualSpacing/>
      </w:pPr>
      <w:r>
        <w:t xml:space="preserve">Completion of the Use of Marine Waters (Tide &amp; Submerged Lands) Supplemental Questionnaire beginning on Page 13 of the </w:t>
      </w:r>
      <w:hyperlink r:id="rId5" w:history="1">
        <w:r w:rsidRPr="00684589">
          <w:rPr>
            <w:rStyle w:val="Hyperlink"/>
          </w:rPr>
          <w:t>Land Use Permit Application</w:t>
        </w:r>
      </w:hyperlink>
      <w:r w:rsidRPr="00684589">
        <w:t xml:space="preserve"> </w:t>
      </w:r>
    </w:p>
    <w:p w14:paraId="5D9187C8" w14:textId="6F53976F" w:rsidR="00076A3C" w:rsidRDefault="00076A3C" w:rsidP="009A5555">
      <w:pPr>
        <w:spacing w:after="0"/>
        <w:ind w:firstLine="360"/>
        <w:contextualSpacing/>
        <w:rPr>
          <w:rFonts w:cs="Segoe UI"/>
          <w:color w:val="000000"/>
        </w:rPr>
      </w:pPr>
    </w:p>
    <w:p w14:paraId="3312E211" w14:textId="77777777" w:rsidR="00A57CB5" w:rsidRPr="00A57CB5" w:rsidRDefault="00076A3C" w:rsidP="009A5555">
      <w:pPr>
        <w:spacing w:after="0"/>
        <w:ind w:firstLine="360"/>
        <w:contextualSpacing/>
        <w:rPr>
          <w:rFonts w:cs="Segoe UI"/>
          <w:color w:val="000000"/>
          <w:u w:val="single"/>
        </w:rPr>
      </w:pPr>
      <w:r>
        <w:rPr>
          <w:rFonts w:cs="Segoe UI"/>
          <w:color w:val="000000"/>
          <w:u w:val="single"/>
        </w:rPr>
        <w:t xml:space="preserve">Example </w:t>
      </w:r>
      <w:r w:rsidR="00A57CB5" w:rsidRPr="00A57CB5">
        <w:rPr>
          <w:rFonts w:cs="Segoe UI"/>
          <w:color w:val="000000"/>
          <w:u w:val="single"/>
        </w:rPr>
        <w:t>Documentation</w:t>
      </w:r>
      <w:r w:rsidR="00FC4023">
        <w:rPr>
          <w:rFonts w:cs="Segoe UI"/>
          <w:color w:val="000000"/>
          <w:u w:val="single"/>
        </w:rPr>
        <w:t>:</w:t>
      </w:r>
    </w:p>
    <w:p w14:paraId="76777AEB" w14:textId="77777777" w:rsidR="00A63516" w:rsidRPr="00A63516" w:rsidRDefault="00A63516" w:rsidP="009A5555">
      <w:pPr>
        <w:pStyle w:val="ListParagraph"/>
        <w:numPr>
          <w:ilvl w:val="0"/>
          <w:numId w:val="4"/>
        </w:numPr>
        <w:rPr>
          <w:rFonts w:asciiTheme="minorHAnsi" w:hAnsiTheme="minorHAnsi" w:cs="Segoe UI"/>
          <w:color w:val="000000"/>
          <w:sz w:val="22"/>
          <w:szCs w:val="22"/>
        </w:rPr>
      </w:pPr>
      <w:r w:rsidRPr="00A63516">
        <w:rPr>
          <w:rFonts w:asciiTheme="minorHAnsi" w:hAnsiTheme="minorHAnsi" w:cs="Segoe UI"/>
          <w:color w:val="000000"/>
          <w:sz w:val="22"/>
          <w:szCs w:val="22"/>
        </w:rPr>
        <w:t xml:space="preserve">Project scope </w:t>
      </w:r>
      <w:r w:rsidR="00B306C7">
        <w:rPr>
          <w:rFonts w:asciiTheme="minorHAnsi" w:hAnsiTheme="minorHAnsi" w:cs="Segoe UI"/>
          <w:color w:val="000000"/>
          <w:sz w:val="22"/>
          <w:szCs w:val="22"/>
        </w:rPr>
        <w:t>with map</w:t>
      </w:r>
    </w:p>
    <w:p w14:paraId="60B373EB" w14:textId="77777777" w:rsidR="00A63516" w:rsidRDefault="00A63516" w:rsidP="009A5555">
      <w:pPr>
        <w:pStyle w:val="ListParagraph"/>
        <w:numPr>
          <w:ilvl w:val="0"/>
          <w:numId w:val="4"/>
        </w:numPr>
        <w:rPr>
          <w:rFonts w:asciiTheme="minorHAnsi" w:hAnsiTheme="minorHAnsi" w:cs="Segoe UI"/>
          <w:color w:val="000000"/>
          <w:sz w:val="22"/>
          <w:szCs w:val="22"/>
        </w:rPr>
      </w:pPr>
      <w:r w:rsidRPr="00A63516">
        <w:rPr>
          <w:rFonts w:asciiTheme="minorHAnsi" w:hAnsiTheme="minorHAnsi" w:cs="Segoe UI"/>
          <w:color w:val="000000"/>
          <w:sz w:val="22"/>
          <w:szCs w:val="22"/>
        </w:rPr>
        <w:t>Project Boundary</w:t>
      </w:r>
      <w:r w:rsidR="00B306C7">
        <w:rPr>
          <w:rFonts w:asciiTheme="minorHAnsi" w:hAnsiTheme="minorHAnsi" w:cs="Segoe UI"/>
          <w:color w:val="000000"/>
          <w:sz w:val="22"/>
          <w:szCs w:val="22"/>
        </w:rPr>
        <w:t xml:space="preserve"> with map</w:t>
      </w:r>
    </w:p>
    <w:p w14:paraId="5F72E399" w14:textId="77777777" w:rsidR="003316BA" w:rsidRPr="00A63516" w:rsidRDefault="003316BA" w:rsidP="009A5555">
      <w:pPr>
        <w:pStyle w:val="ListParagraph"/>
        <w:numPr>
          <w:ilvl w:val="0"/>
          <w:numId w:val="4"/>
        </w:numPr>
        <w:rPr>
          <w:rFonts w:asciiTheme="minorHAnsi" w:hAnsiTheme="minorHAnsi" w:cs="Segoe UI"/>
          <w:color w:val="000000"/>
          <w:sz w:val="22"/>
          <w:szCs w:val="22"/>
        </w:rPr>
      </w:pPr>
      <w:r>
        <w:rPr>
          <w:rFonts w:asciiTheme="minorHAnsi" w:hAnsiTheme="minorHAnsi" w:cs="Segoe UI"/>
          <w:color w:val="000000"/>
          <w:sz w:val="22"/>
          <w:szCs w:val="22"/>
        </w:rPr>
        <w:t>Contact Information</w:t>
      </w:r>
    </w:p>
    <w:p w14:paraId="55924DA1" w14:textId="77777777" w:rsidR="00A63516" w:rsidRPr="00A63516" w:rsidRDefault="00A63516" w:rsidP="009A5555">
      <w:pPr>
        <w:pStyle w:val="ListParagraph"/>
        <w:numPr>
          <w:ilvl w:val="0"/>
          <w:numId w:val="4"/>
        </w:numPr>
        <w:rPr>
          <w:rFonts w:asciiTheme="minorHAnsi" w:hAnsiTheme="minorHAnsi" w:cs="Segoe UI"/>
          <w:color w:val="000000"/>
          <w:sz w:val="22"/>
          <w:szCs w:val="22"/>
        </w:rPr>
      </w:pPr>
      <w:r w:rsidRPr="00A63516">
        <w:rPr>
          <w:rFonts w:asciiTheme="minorHAnsi" w:hAnsiTheme="minorHAnsi" w:cs="Segoe UI"/>
          <w:color w:val="000000"/>
          <w:sz w:val="22"/>
          <w:szCs w:val="22"/>
        </w:rPr>
        <w:t>Landownership within the Project boundary</w:t>
      </w:r>
    </w:p>
    <w:p w14:paraId="68B90CA7" w14:textId="1B0D7D2B" w:rsidR="003316BA" w:rsidRDefault="00A63516" w:rsidP="009A5555">
      <w:pPr>
        <w:pStyle w:val="ListParagraph"/>
        <w:numPr>
          <w:ilvl w:val="0"/>
          <w:numId w:val="4"/>
        </w:numPr>
        <w:rPr>
          <w:rFonts w:asciiTheme="minorHAnsi" w:hAnsiTheme="minorHAnsi" w:cs="Segoe UI"/>
          <w:color w:val="000000"/>
          <w:sz w:val="22"/>
          <w:szCs w:val="22"/>
        </w:rPr>
      </w:pPr>
      <w:r w:rsidRPr="00A63516">
        <w:rPr>
          <w:rFonts w:asciiTheme="minorHAnsi" w:hAnsiTheme="minorHAnsi" w:cs="Segoe UI"/>
          <w:color w:val="000000"/>
          <w:sz w:val="22"/>
          <w:szCs w:val="22"/>
        </w:rPr>
        <w:t>Current and past land use within the Project boundary</w:t>
      </w:r>
      <w:r w:rsidR="003316BA" w:rsidRPr="003316BA">
        <w:rPr>
          <w:rFonts w:asciiTheme="minorHAnsi" w:hAnsiTheme="minorHAnsi" w:cs="Segoe UI"/>
          <w:color w:val="000000"/>
          <w:sz w:val="22"/>
          <w:szCs w:val="22"/>
        </w:rPr>
        <w:t xml:space="preserve"> </w:t>
      </w:r>
    </w:p>
    <w:p w14:paraId="7A7C8FD9" w14:textId="77777777" w:rsidR="00684589" w:rsidRDefault="00684589" w:rsidP="00684589">
      <w:r>
        <w:t xml:space="preserve">It is the responsibility of the applicant to arrange and pay for survey, appraisal, and legal notice publication, and to see that these tasks are carried out in a timely manner when directed to do so by the State. </w:t>
      </w:r>
    </w:p>
    <w:p w14:paraId="6F87A612" w14:textId="569703E0" w:rsidR="00684589" w:rsidRPr="00684589" w:rsidRDefault="00684589" w:rsidP="00684589">
      <w:pPr>
        <w:rPr>
          <w:rFonts w:cs="Segoe UI"/>
          <w:color w:val="000000"/>
        </w:rPr>
      </w:pPr>
      <w:r>
        <w:t>Depending on the time of year, these tasks could be time consuming. If the lease is negotiated, the decision on whether or not to require a survey will be made on a case by case basis and will depend on the type and Appendix A - 91 extent of existing monumentation, the existing uses of the surrounding land, the likelihood that the surrounding land will be developed during the lease term and any other pertinent factors which may apply to a particular parcel of state land.</w:t>
      </w:r>
    </w:p>
    <w:p w14:paraId="1E27437A" w14:textId="77777777" w:rsidR="000158D7" w:rsidRPr="00FC4023" w:rsidRDefault="00FC4023" w:rsidP="009A5555">
      <w:pPr>
        <w:spacing w:after="0"/>
        <w:contextualSpacing/>
        <w:rPr>
          <w:rFonts w:cs="Segoe UI"/>
          <w:b/>
          <w:color w:val="000000"/>
          <w:sz w:val="24"/>
          <w:szCs w:val="24"/>
          <w:u w:val="single"/>
        </w:rPr>
      </w:pPr>
      <w:r w:rsidRPr="00FC4023">
        <w:rPr>
          <w:rFonts w:cs="Segoe UI"/>
          <w:b/>
          <w:color w:val="000000"/>
          <w:sz w:val="24"/>
          <w:szCs w:val="24"/>
          <w:u w:val="single"/>
        </w:rPr>
        <w:t xml:space="preserve">Special definitions </w:t>
      </w:r>
    </w:p>
    <w:p w14:paraId="63546CDF" w14:textId="77777777" w:rsidR="0073445B" w:rsidRPr="0073445B" w:rsidRDefault="0073445B" w:rsidP="009A5555">
      <w:pPr>
        <w:spacing w:after="0"/>
        <w:contextualSpacing/>
        <w:rPr>
          <w:rFonts w:cs="Segoe UI"/>
          <w:b/>
          <w:color w:val="000000"/>
          <w:sz w:val="24"/>
          <w:szCs w:val="24"/>
          <w:u w:val="single"/>
        </w:rPr>
      </w:pPr>
      <w:r w:rsidRPr="0073445B">
        <w:rPr>
          <w:rFonts w:cs="Segoe UI"/>
          <w:b/>
          <w:color w:val="000000"/>
          <w:sz w:val="24"/>
          <w:szCs w:val="24"/>
          <w:u w:val="single"/>
        </w:rPr>
        <w:t>Enforcement and Penalties:</w:t>
      </w:r>
    </w:p>
    <w:p w14:paraId="33213D99" w14:textId="77777777" w:rsidR="00684589" w:rsidRDefault="00076A3C" w:rsidP="00684589">
      <w:pPr>
        <w:spacing w:after="0" w:line="240" w:lineRule="auto"/>
        <w:contextualSpacing/>
        <w:jc w:val="both"/>
      </w:pPr>
      <w:bookmarkStart w:id="1" w:name="h.y33bxdpuvswp" w:colFirst="0" w:colLast="0"/>
      <w:bookmarkStart w:id="2" w:name="h.rabv6ryip3q0" w:colFirst="0" w:colLast="0"/>
      <w:bookmarkEnd w:id="1"/>
      <w:bookmarkEnd w:id="2"/>
      <w:r w:rsidRPr="00FC4023">
        <w:rPr>
          <w:b/>
          <w:u w:val="single"/>
        </w:rPr>
        <w:t>REGULATIONS (CFR)</w:t>
      </w:r>
      <w:r w:rsidR="00684589" w:rsidRPr="00684589">
        <w:t xml:space="preserve"> </w:t>
      </w:r>
      <w:r w:rsidR="00684589">
        <w:t>Applicable statutes for reference:</w:t>
      </w:r>
    </w:p>
    <w:p w14:paraId="77300344" w14:textId="77777777" w:rsidR="00684589" w:rsidRDefault="00684589" w:rsidP="00684589">
      <w:pPr>
        <w:spacing w:after="0" w:line="240" w:lineRule="auto"/>
        <w:contextualSpacing/>
        <w:jc w:val="both"/>
      </w:pPr>
      <w:r>
        <w:t xml:space="preserve"> A.S. 38.05.035 - Powers and duties of the director.</w:t>
      </w:r>
    </w:p>
    <w:p w14:paraId="2909D0FE" w14:textId="77777777" w:rsidR="00684589" w:rsidRDefault="00684589" w:rsidP="00684589">
      <w:pPr>
        <w:spacing w:after="0" w:line="240" w:lineRule="auto"/>
        <w:contextualSpacing/>
        <w:jc w:val="both"/>
      </w:pPr>
      <w:r>
        <w:t xml:space="preserve"> A.S. 38.05.070 -- Leasing of lands other than for the </w:t>
      </w:r>
    </w:p>
    <w:p w14:paraId="31B3262B" w14:textId="77777777" w:rsidR="00684589" w:rsidRDefault="00684589" w:rsidP="00684589">
      <w:pPr>
        <w:spacing w:after="0" w:line="240" w:lineRule="auto"/>
        <w:ind w:firstLine="720"/>
        <w:contextualSpacing/>
        <w:jc w:val="both"/>
      </w:pPr>
      <w:r>
        <w:t>-.105 extraction of natural resources.</w:t>
      </w:r>
    </w:p>
    <w:p w14:paraId="6CBB066C" w14:textId="33A17E56" w:rsidR="00684589" w:rsidRDefault="00684589" w:rsidP="00684589">
      <w:pPr>
        <w:spacing w:after="0" w:line="240" w:lineRule="auto"/>
        <w:contextualSpacing/>
        <w:jc w:val="both"/>
      </w:pPr>
      <w:r>
        <w:t xml:space="preserve"> A.S. 38.05.840 </w:t>
      </w:r>
      <w:r>
        <w:t>–</w:t>
      </w:r>
      <w:r>
        <w:t xml:space="preserve"> Appraisals</w:t>
      </w:r>
    </w:p>
    <w:p w14:paraId="087DCE82" w14:textId="79053085" w:rsidR="00684589" w:rsidRDefault="00684589" w:rsidP="00684589">
      <w:pPr>
        <w:spacing w:after="0" w:line="240" w:lineRule="auto"/>
        <w:contextualSpacing/>
        <w:jc w:val="both"/>
      </w:pPr>
      <w:r>
        <w:lastRenderedPageBreak/>
        <w:t xml:space="preserve"> A.S. 38.05.920 </w:t>
      </w:r>
      <w:r>
        <w:t>–</w:t>
      </w:r>
      <w:r>
        <w:t xml:space="preserve"> Assignment</w:t>
      </w:r>
    </w:p>
    <w:p w14:paraId="7FFFA7E3" w14:textId="4F140B35" w:rsidR="00684589" w:rsidRDefault="00684589" w:rsidP="00684589">
      <w:pPr>
        <w:spacing w:after="0" w:line="240" w:lineRule="auto"/>
        <w:contextualSpacing/>
        <w:jc w:val="both"/>
      </w:pPr>
      <w:r>
        <w:t xml:space="preserve"> A.S. 38.05.945 </w:t>
      </w:r>
      <w:r>
        <w:t>–</w:t>
      </w:r>
      <w:r>
        <w:t xml:space="preserve"> Notice</w:t>
      </w:r>
    </w:p>
    <w:p w14:paraId="07A0BFA9" w14:textId="57234AF6" w:rsidR="00076A3C" w:rsidRPr="00FC4023" w:rsidRDefault="00684589" w:rsidP="00684589">
      <w:pPr>
        <w:spacing w:after="0" w:line="240" w:lineRule="auto"/>
        <w:contextualSpacing/>
        <w:jc w:val="both"/>
      </w:pPr>
      <w:r>
        <w:t xml:space="preserve"> For additional information, contact the local office of the Department of Natural Resources, Division of Land and Water Management:</w:t>
      </w:r>
    </w:p>
    <w:p w14:paraId="1F1103A1" w14:textId="77777777" w:rsidR="00684589" w:rsidRDefault="00684589" w:rsidP="009A5555">
      <w:pPr>
        <w:spacing w:after="0" w:line="240" w:lineRule="auto"/>
        <w:contextualSpacing/>
        <w:jc w:val="both"/>
        <w:rPr>
          <w:b/>
          <w:u w:val="single"/>
        </w:rPr>
      </w:pPr>
      <w:bookmarkStart w:id="3" w:name="h.mhzpe8wssxmh" w:colFirst="0" w:colLast="0"/>
      <w:bookmarkStart w:id="4" w:name="h.nnhnj2v6nfho" w:colFirst="0" w:colLast="0"/>
      <w:bookmarkStart w:id="5" w:name="h.yhwvryw2ht3s" w:colFirst="0" w:colLast="0"/>
      <w:bookmarkEnd w:id="3"/>
      <w:bookmarkEnd w:id="4"/>
      <w:bookmarkEnd w:id="5"/>
    </w:p>
    <w:p w14:paraId="3CE55F61" w14:textId="6486C5D6" w:rsidR="00076A3C" w:rsidRDefault="00FC4023" w:rsidP="009A5555">
      <w:pPr>
        <w:spacing w:after="0" w:line="240" w:lineRule="auto"/>
        <w:contextualSpacing/>
        <w:jc w:val="both"/>
        <w:rPr>
          <w:b/>
          <w:u w:val="single"/>
        </w:rPr>
      </w:pPr>
      <w:r w:rsidRPr="00FC4023">
        <w:rPr>
          <w:b/>
          <w:u w:val="single"/>
        </w:rPr>
        <w:t>Other Resources</w:t>
      </w:r>
    </w:p>
    <w:p w14:paraId="21609F33" w14:textId="77777777" w:rsidR="00684589" w:rsidRDefault="00684589" w:rsidP="009A5555">
      <w:pPr>
        <w:spacing w:after="0" w:line="240" w:lineRule="auto"/>
        <w:contextualSpacing/>
        <w:jc w:val="both"/>
        <w:rPr>
          <w:b/>
          <w:u w:val="single"/>
        </w:rPr>
      </w:pPr>
    </w:p>
    <w:p w14:paraId="202ECF21" w14:textId="19156314" w:rsidR="00684589" w:rsidRDefault="00684589" w:rsidP="009A5555">
      <w:pPr>
        <w:spacing w:after="0" w:line="240" w:lineRule="auto"/>
        <w:contextualSpacing/>
        <w:jc w:val="both"/>
        <w:rPr>
          <w:b/>
          <w:u w:val="single"/>
        </w:rPr>
      </w:pPr>
      <w:hyperlink r:id="rId6" w:history="1">
        <w:r w:rsidRPr="00684589">
          <w:rPr>
            <w:rStyle w:val="Hyperlink"/>
            <w:b/>
          </w:rPr>
          <w:t>Alaska Department of Natural Resources Land Use Permit Application</w:t>
        </w:r>
      </w:hyperlink>
      <w:r>
        <w:rPr>
          <w:b/>
          <w:u w:val="single"/>
        </w:rPr>
        <w:t xml:space="preserve"> </w:t>
      </w:r>
    </w:p>
    <w:p w14:paraId="29783F9D" w14:textId="77777777" w:rsidR="00684589" w:rsidRPr="00FC4023" w:rsidRDefault="00684589" w:rsidP="009A5555">
      <w:pPr>
        <w:spacing w:after="0" w:line="240" w:lineRule="auto"/>
        <w:contextualSpacing/>
        <w:jc w:val="both"/>
        <w:rPr>
          <w:b/>
          <w:u w:val="single"/>
        </w:rPr>
      </w:pPr>
    </w:p>
    <w:p w14:paraId="24578D46" w14:textId="77777777" w:rsidR="00684589" w:rsidRDefault="00684589" w:rsidP="009A5555">
      <w:pPr>
        <w:spacing w:after="0" w:line="240" w:lineRule="auto"/>
        <w:contextualSpacing/>
        <w:jc w:val="both"/>
      </w:pPr>
      <w:hyperlink r:id="rId7" w:history="1">
        <w:r w:rsidRPr="00684589">
          <w:rPr>
            <w:rStyle w:val="Hyperlink"/>
          </w:rPr>
          <w:t>Appendix A (AS 38.05.070)</w:t>
        </w:r>
      </w:hyperlink>
      <w:r>
        <w:t xml:space="preserve"> For more information regarding Leasing of Tidelands in Alaska</w:t>
      </w:r>
    </w:p>
    <w:p w14:paraId="43FFCA87" w14:textId="77777777" w:rsidR="00684589" w:rsidRDefault="00684589" w:rsidP="009A5555">
      <w:pPr>
        <w:spacing w:after="0" w:line="240" w:lineRule="auto"/>
        <w:contextualSpacing/>
        <w:jc w:val="both"/>
      </w:pPr>
    </w:p>
    <w:p w14:paraId="4688F3CA" w14:textId="06B8A3D2" w:rsidR="00FC4023" w:rsidRDefault="00684589" w:rsidP="009A5555">
      <w:pPr>
        <w:spacing w:after="0" w:line="240" w:lineRule="auto"/>
        <w:contextualSpacing/>
        <w:jc w:val="both"/>
      </w:pPr>
      <w:r>
        <w:t>Links to AK DNR MLW Division Permits</w:t>
      </w:r>
      <w:r>
        <w:t xml:space="preserve">  </w:t>
      </w:r>
      <w:hyperlink r:id="rId8" w:history="1">
        <w:r w:rsidRPr="00684589">
          <w:rPr>
            <w:color w:val="0000FF"/>
            <w:u w:val="single"/>
          </w:rPr>
          <w:t>http://dnr.alaska.gov/mlw/permit_lease/</w:t>
        </w:r>
      </w:hyperlink>
      <w:r>
        <w:t xml:space="preserve"> </w:t>
      </w:r>
    </w:p>
    <w:p w14:paraId="2D8C02C9" w14:textId="77777777" w:rsidR="00684589" w:rsidRDefault="00684589" w:rsidP="009A5555">
      <w:pPr>
        <w:spacing w:after="0" w:line="240" w:lineRule="auto"/>
        <w:contextualSpacing/>
        <w:jc w:val="both"/>
      </w:pPr>
    </w:p>
    <w:sectPr w:rsidR="00684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68B"/>
    <w:multiLevelType w:val="multilevel"/>
    <w:tmpl w:val="2CFAB75C"/>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1419BB"/>
    <w:multiLevelType w:val="hybridMultilevel"/>
    <w:tmpl w:val="A2E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24FCF"/>
    <w:multiLevelType w:val="hybridMultilevel"/>
    <w:tmpl w:val="432C8420"/>
    <w:lvl w:ilvl="0" w:tplc="B888E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D3102"/>
    <w:multiLevelType w:val="multilevel"/>
    <w:tmpl w:val="C202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161A49"/>
    <w:multiLevelType w:val="multilevel"/>
    <w:tmpl w:val="3F6C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80D98"/>
    <w:multiLevelType w:val="hybridMultilevel"/>
    <w:tmpl w:val="80C8F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4D1A53"/>
    <w:multiLevelType w:val="hybridMultilevel"/>
    <w:tmpl w:val="F00A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5EF4"/>
    <w:multiLevelType w:val="hybridMultilevel"/>
    <w:tmpl w:val="EF4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34359"/>
    <w:multiLevelType w:val="multilevel"/>
    <w:tmpl w:val="F11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B776F"/>
    <w:multiLevelType w:val="multilevel"/>
    <w:tmpl w:val="4C4A23D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0610F45"/>
    <w:multiLevelType w:val="hybridMultilevel"/>
    <w:tmpl w:val="E230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65653"/>
    <w:multiLevelType w:val="hybridMultilevel"/>
    <w:tmpl w:val="05AC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A5D84"/>
    <w:multiLevelType w:val="multilevel"/>
    <w:tmpl w:val="A8EC0B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D624F51"/>
    <w:multiLevelType w:val="multilevel"/>
    <w:tmpl w:val="4CF8190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ECF6B95"/>
    <w:multiLevelType w:val="multilevel"/>
    <w:tmpl w:val="08DACFD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1106187"/>
    <w:multiLevelType w:val="hybridMultilevel"/>
    <w:tmpl w:val="9C9A7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71807"/>
    <w:multiLevelType w:val="multilevel"/>
    <w:tmpl w:val="0750D6FA"/>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B601D7A"/>
    <w:multiLevelType w:val="hybridMultilevel"/>
    <w:tmpl w:val="1CA65694"/>
    <w:lvl w:ilvl="0" w:tplc="CCA6A5E6">
      <w:start w:val="1"/>
      <w:numFmt w:val="bullet"/>
      <w:lvlText w:val="•"/>
      <w:lvlJc w:val="left"/>
      <w:pPr>
        <w:tabs>
          <w:tab w:val="num" w:pos="720"/>
        </w:tabs>
        <w:ind w:left="720" w:hanging="360"/>
      </w:pPr>
      <w:rPr>
        <w:rFonts w:ascii="Arial" w:hAnsi="Arial" w:hint="default"/>
      </w:rPr>
    </w:lvl>
    <w:lvl w:ilvl="1" w:tplc="E8A24636" w:tentative="1">
      <w:start w:val="1"/>
      <w:numFmt w:val="bullet"/>
      <w:lvlText w:val="•"/>
      <w:lvlJc w:val="left"/>
      <w:pPr>
        <w:tabs>
          <w:tab w:val="num" w:pos="1440"/>
        </w:tabs>
        <w:ind w:left="1440" w:hanging="360"/>
      </w:pPr>
      <w:rPr>
        <w:rFonts w:ascii="Arial" w:hAnsi="Arial" w:hint="default"/>
      </w:rPr>
    </w:lvl>
    <w:lvl w:ilvl="2" w:tplc="E27E805C" w:tentative="1">
      <w:start w:val="1"/>
      <w:numFmt w:val="bullet"/>
      <w:lvlText w:val="•"/>
      <w:lvlJc w:val="left"/>
      <w:pPr>
        <w:tabs>
          <w:tab w:val="num" w:pos="2160"/>
        </w:tabs>
        <w:ind w:left="2160" w:hanging="360"/>
      </w:pPr>
      <w:rPr>
        <w:rFonts w:ascii="Arial" w:hAnsi="Arial" w:hint="default"/>
      </w:rPr>
    </w:lvl>
    <w:lvl w:ilvl="3" w:tplc="B7B673EA" w:tentative="1">
      <w:start w:val="1"/>
      <w:numFmt w:val="bullet"/>
      <w:lvlText w:val="•"/>
      <w:lvlJc w:val="left"/>
      <w:pPr>
        <w:tabs>
          <w:tab w:val="num" w:pos="2880"/>
        </w:tabs>
        <w:ind w:left="2880" w:hanging="360"/>
      </w:pPr>
      <w:rPr>
        <w:rFonts w:ascii="Arial" w:hAnsi="Arial" w:hint="default"/>
      </w:rPr>
    </w:lvl>
    <w:lvl w:ilvl="4" w:tplc="56F2DD74" w:tentative="1">
      <w:start w:val="1"/>
      <w:numFmt w:val="bullet"/>
      <w:lvlText w:val="•"/>
      <w:lvlJc w:val="left"/>
      <w:pPr>
        <w:tabs>
          <w:tab w:val="num" w:pos="3600"/>
        </w:tabs>
        <w:ind w:left="3600" w:hanging="360"/>
      </w:pPr>
      <w:rPr>
        <w:rFonts w:ascii="Arial" w:hAnsi="Arial" w:hint="default"/>
      </w:rPr>
    </w:lvl>
    <w:lvl w:ilvl="5" w:tplc="596612B4" w:tentative="1">
      <w:start w:val="1"/>
      <w:numFmt w:val="bullet"/>
      <w:lvlText w:val="•"/>
      <w:lvlJc w:val="left"/>
      <w:pPr>
        <w:tabs>
          <w:tab w:val="num" w:pos="4320"/>
        </w:tabs>
        <w:ind w:left="4320" w:hanging="360"/>
      </w:pPr>
      <w:rPr>
        <w:rFonts w:ascii="Arial" w:hAnsi="Arial" w:hint="default"/>
      </w:rPr>
    </w:lvl>
    <w:lvl w:ilvl="6" w:tplc="D80835F4" w:tentative="1">
      <w:start w:val="1"/>
      <w:numFmt w:val="bullet"/>
      <w:lvlText w:val="•"/>
      <w:lvlJc w:val="left"/>
      <w:pPr>
        <w:tabs>
          <w:tab w:val="num" w:pos="5040"/>
        </w:tabs>
        <w:ind w:left="5040" w:hanging="360"/>
      </w:pPr>
      <w:rPr>
        <w:rFonts w:ascii="Arial" w:hAnsi="Arial" w:hint="default"/>
      </w:rPr>
    </w:lvl>
    <w:lvl w:ilvl="7" w:tplc="4DA63918" w:tentative="1">
      <w:start w:val="1"/>
      <w:numFmt w:val="bullet"/>
      <w:lvlText w:val="•"/>
      <w:lvlJc w:val="left"/>
      <w:pPr>
        <w:tabs>
          <w:tab w:val="num" w:pos="5760"/>
        </w:tabs>
        <w:ind w:left="5760" w:hanging="360"/>
      </w:pPr>
      <w:rPr>
        <w:rFonts w:ascii="Arial" w:hAnsi="Arial" w:hint="default"/>
      </w:rPr>
    </w:lvl>
    <w:lvl w:ilvl="8" w:tplc="E154D4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021566"/>
    <w:multiLevelType w:val="multilevel"/>
    <w:tmpl w:val="1C0C42C2"/>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A7A68EF"/>
    <w:multiLevelType w:val="multilevel"/>
    <w:tmpl w:val="D88AE74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8"/>
  </w:num>
  <w:num w:numId="3">
    <w:abstractNumId w:val="3"/>
  </w:num>
  <w:num w:numId="4">
    <w:abstractNumId w:val="5"/>
  </w:num>
  <w:num w:numId="5">
    <w:abstractNumId w:val="4"/>
  </w:num>
  <w:num w:numId="6">
    <w:abstractNumId w:val="6"/>
  </w:num>
  <w:num w:numId="7">
    <w:abstractNumId w:val="14"/>
  </w:num>
  <w:num w:numId="8">
    <w:abstractNumId w:val="0"/>
  </w:num>
  <w:num w:numId="9">
    <w:abstractNumId w:val="19"/>
  </w:num>
  <w:num w:numId="10">
    <w:abstractNumId w:val="12"/>
  </w:num>
  <w:num w:numId="11">
    <w:abstractNumId w:val="18"/>
  </w:num>
  <w:num w:numId="12">
    <w:abstractNumId w:val="9"/>
  </w:num>
  <w:num w:numId="13">
    <w:abstractNumId w:val="16"/>
  </w:num>
  <w:num w:numId="14">
    <w:abstractNumId w:val="13"/>
  </w:num>
  <w:num w:numId="15">
    <w:abstractNumId w:val="15"/>
  </w:num>
  <w:num w:numId="16">
    <w:abstractNumId w:val="2"/>
  </w:num>
  <w:num w:numId="17">
    <w:abstractNumId w:val="10"/>
  </w:num>
  <w:num w:numId="18">
    <w:abstractNumId w:val="7"/>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DB"/>
    <w:rsid w:val="000158D7"/>
    <w:rsid w:val="00076A3C"/>
    <w:rsid w:val="00174EF8"/>
    <w:rsid w:val="00191309"/>
    <w:rsid w:val="001B178A"/>
    <w:rsid w:val="001B3BC8"/>
    <w:rsid w:val="001E7F91"/>
    <w:rsid w:val="001F207F"/>
    <w:rsid w:val="0022446A"/>
    <w:rsid w:val="002A321D"/>
    <w:rsid w:val="002A3FC2"/>
    <w:rsid w:val="00317ACA"/>
    <w:rsid w:val="003316BA"/>
    <w:rsid w:val="003A3197"/>
    <w:rsid w:val="00480AB7"/>
    <w:rsid w:val="004D1365"/>
    <w:rsid w:val="00555780"/>
    <w:rsid w:val="005B665B"/>
    <w:rsid w:val="005C3146"/>
    <w:rsid w:val="00684589"/>
    <w:rsid w:val="006E7F68"/>
    <w:rsid w:val="00715F46"/>
    <w:rsid w:val="0073445B"/>
    <w:rsid w:val="007E00FA"/>
    <w:rsid w:val="00833017"/>
    <w:rsid w:val="0084376F"/>
    <w:rsid w:val="00852BB8"/>
    <w:rsid w:val="00892F92"/>
    <w:rsid w:val="008B2102"/>
    <w:rsid w:val="009A5555"/>
    <w:rsid w:val="00A57CB5"/>
    <w:rsid w:val="00A63516"/>
    <w:rsid w:val="00A66FFB"/>
    <w:rsid w:val="00B06B10"/>
    <w:rsid w:val="00B306C7"/>
    <w:rsid w:val="00B51DAF"/>
    <w:rsid w:val="00BC3EDB"/>
    <w:rsid w:val="00BC76DA"/>
    <w:rsid w:val="00C21E4A"/>
    <w:rsid w:val="00CA1E10"/>
    <w:rsid w:val="00EE75EA"/>
    <w:rsid w:val="00EF40FA"/>
    <w:rsid w:val="00F379AA"/>
    <w:rsid w:val="00F45868"/>
    <w:rsid w:val="00FC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AF1A"/>
  <w15:docId w15:val="{0EBB3213-98E8-46BE-ACEC-C575EA7B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character" w:styleId="UnresolvedMention">
    <w:name w:val="Unresolved Mention"/>
    <w:basedOn w:val="DefaultParagraphFont"/>
    <w:uiPriority w:val="99"/>
    <w:semiHidden/>
    <w:unhideWhenUsed/>
    <w:rsid w:val="0068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67808">
      <w:bodyDiv w:val="1"/>
      <w:marLeft w:val="0"/>
      <w:marRight w:val="0"/>
      <w:marTop w:val="100"/>
      <w:marBottom w:val="100"/>
      <w:divBdr>
        <w:top w:val="none" w:sz="0" w:space="0" w:color="auto"/>
        <w:left w:val="none" w:sz="0" w:space="0" w:color="auto"/>
        <w:bottom w:val="none" w:sz="0" w:space="0" w:color="auto"/>
        <w:right w:val="none" w:sz="0" w:space="0" w:color="auto"/>
      </w:divBdr>
      <w:divsChild>
        <w:div w:id="238904991">
          <w:marLeft w:val="0"/>
          <w:marRight w:val="0"/>
          <w:marTop w:val="0"/>
          <w:marBottom w:val="0"/>
          <w:divBdr>
            <w:top w:val="none" w:sz="0" w:space="0" w:color="auto"/>
            <w:left w:val="none" w:sz="0" w:space="0" w:color="auto"/>
            <w:bottom w:val="none" w:sz="0" w:space="0" w:color="auto"/>
            <w:right w:val="none" w:sz="0" w:space="0" w:color="auto"/>
          </w:divBdr>
          <w:divsChild>
            <w:div w:id="654987727">
              <w:marLeft w:val="0"/>
              <w:marRight w:val="0"/>
              <w:marTop w:val="100"/>
              <w:marBottom w:val="100"/>
              <w:divBdr>
                <w:top w:val="none" w:sz="0" w:space="0" w:color="auto"/>
                <w:left w:val="none" w:sz="0" w:space="0" w:color="auto"/>
                <w:bottom w:val="none" w:sz="0" w:space="0" w:color="auto"/>
                <w:right w:val="none" w:sz="0" w:space="0" w:color="auto"/>
              </w:divBdr>
              <w:divsChild>
                <w:div w:id="1534731174">
                  <w:marLeft w:val="0"/>
                  <w:marRight w:val="0"/>
                  <w:marTop w:val="0"/>
                  <w:marBottom w:val="0"/>
                  <w:divBdr>
                    <w:top w:val="none" w:sz="0" w:space="0" w:color="auto"/>
                    <w:left w:val="none" w:sz="0" w:space="0" w:color="auto"/>
                    <w:bottom w:val="none" w:sz="0" w:space="0" w:color="auto"/>
                    <w:right w:val="none" w:sz="0" w:space="0" w:color="auto"/>
                  </w:divBdr>
                  <w:divsChild>
                    <w:div w:id="1840342165">
                      <w:marLeft w:val="0"/>
                      <w:marRight w:val="0"/>
                      <w:marTop w:val="150"/>
                      <w:marBottom w:val="0"/>
                      <w:divBdr>
                        <w:top w:val="none" w:sz="0" w:space="0" w:color="auto"/>
                        <w:left w:val="none" w:sz="0" w:space="0" w:color="auto"/>
                        <w:bottom w:val="none" w:sz="0" w:space="0" w:color="auto"/>
                        <w:right w:val="none" w:sz="0" w:space="0" w:color="auto"/>
                      </w:divBdr>
                      <w:divsChild>
                        <w:div w:id="1257247474">
                          <w:marLeft w:val="0"/>
                          <w:marRight w:val="0"/>
                          <w:marTop w:val="150"/>
                          <w:marBottom w:val="225"/>
                          <w:divBdr>
                            <w:top w:val="single" w:sz="6" w:space="0" w:color="3399FF"/>
                            <w:left w:val="single" w:sz="6" w:space="0" w:color="3399FF"/>
                            <w:bottom w:val="single" w:sz="6" w:space="0" w:color="3399FF"/>
                            <w:right w:val="single" w:sz="6" w:space="0" w:color="3399FF"/>
                          </w:divBdr>
                        </w:div>
                      </w:divsChild>
                    </w:div>
                  </w:divsChild>
                </w:div>
              </w:divsChild>
            </w:div>
          </w:divsChild>
        </w:div>
      </w:divsChild>
    </w:div>
    <w:div w:id="593056351">
      <w:bodyDiv w:val="1"/>
      <w:marLeft w:val="0"/>
      <w:marRight w:val="0"/>
      <w:marTop w:val="0"/>
      <w:marBottom w:val="0"/>
      <w:divBdr>
        <w:top w:val="none" w:sz="0" w:space="0" w:color="auto"/>
        <w:left w:val="none" w:sz="0" w:space="0" w:color="auto"/>
        <w:bottom w:val="none" w:sz="0" w:space="0" w:color="auto"/>
        <w:right w:val="none" w:sz="0" w:space="0" w:color="auto"/>
      </w:divBdr>
      <w:divsChild>
        <w:div w:id="924188810">
          <w:marLeft w:val="0"/>
          <w:marRight w:val="0"/>
          <w:marTop w:val="0"/>
          <w:marBottom w:val="0"/>
          <w:divBdr>
            <w:top w:val="none" w:sz="0" w:space="0" w:color="auto"/>
            <w:left w:val="none" w:sz="0" w:space="0" w:color="auto"/>
            <w:bottom w:val="none" w:sz="0" w:space="0" w:color="auto"/>
            <w:right w:val="none" w:sz="0" w:space="0" w:color="auto"/>
          </w:divBdr>
          <w:divsChild>
            <w:div w:id="181941656">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443427184">
              <w:marLeft w:val="0"/>
              <w:marRight w:val="0"/>
              <w:marTop w:val="0"/>
              <w:marBottom w:val="0"/>
              <w:divBdr>
                <w:top w:val="none" w:sz="0" w:space="0" w:color="auto"/>
                <w:left w:val="none" w:sz="0" w:space="0" w:color="auto"/>
                <w:bottom w:val="none" w:sz="0" w:space="0" w:color="auto"/>
                <w:right w:val="none" w:sz="0" w:space="0" w:color="auto"/>
              </w:divBdr>
            </w:div>
            <w:div w:id="687559402">
              <w:marLeft w:val="0"/>
              <w:marRight w:val="0"/>
              <w:marTop w:val="0"/>
              <w:marBottom w:val="0"/>
              <w:divBdr>
                <w:top w:val="none" w:sz="0" w:space="0" w:color="auto"/>
                <w:left w:val="none" w:sz="0" w:space="0" w:color="auto"/>
                <w:bottom w:val="none" w:sz="0" w:space="0" w:color="auto"/>
                <w:right w:val="none" w:sz="0" w:space="0" w:color="auto"/>
              </w:divBdr>
            </w:div>
            <w:div w:id="19150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2730">
      <w:bodyDiv w:val="1"/>
      <w:marLeft w:val="0"/>
      <w:marRight w:val="0"/>
      <w:marTop w:val="0"/>
      <w:marBottom w:val="0"/>
      <w:divBdr>
        <w:top w:val="none" w:sz="0" w:space="0" w:color="auto"/>
        <w:left w:val="none" w:sz="0" w:space="0" w:color="auto"/>
        <w:bottom w:val="none" w:sz="0" w:space="0" w:color="auto"/>
        <w:right w:val="none" w:sz="0" w:space="0" w:color="auto"/>
      </w:divBdr>
      <w:divsChild>
        <w:div w:id="18086703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nr.alaska.gov/mlw/permit_lease/" TargetMode="External"/><Relationship Id="rId3" Type="http://schemas.openxmlformats.org/officeDocument/2006/relationships/settings" Target="settings.xml"/><Relationship Id="rId7" Type="http://schemas.openxmlformats.org/officeDocument/2006/relationships/hyperlink" Target="http://dnr.alaska.gov/mlw/planning/mgtplans/nushagak_mulchatna/pdf/Appendix_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nr.alaska.gov/mlw/cdn/pdf/forms/Land-Use-Permit-Application-with-Supplemental-05-2019.pdf" TargetMode="External"/><Relationship Id="rId5" Type="http://schemas.openxmlformats.org/officeDocument/2006/relationships/hyperlink" Target="https://dnr.alaska.gov/mlw/cdn/pdf/forms/LUP-Marine-Waters-Supplement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5616</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Bullock</dc:creator>
  <cp:keywords/>
  <dc:description/>
  <cp:lastModifiedBy>Croix Fylpaa</cp:lastModifiedBy>
  <cp:revision>1</cp:revision>
  <cp:lastPrinted>2016-02-15T21:18:00Z</cp:lastPrinted>
  <dcterms:created xsi:type="dcterms:W3CDTF">2020-01-16T00:14:00Z</dcterms:created>
  <dcterms:modified xsi:type="dcterms:W3CDTF">2020-04-25T22:18:00Z</dcterms:modified>
</cp:coreProperties>
</file>